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C8" w:rsidRPr="00B877C8" w:rsidRDefault="00B877C8" w:rsidP="00B877C8">
      <w:pPr>
        <w:pStyle w:val="a7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B877C8">
        <w:rPr>
          <w:rStyle w:val="a3"/>
          <w:b/>
          <w:color w:val="000000"/>
          <w:sz w:val="27"/>
          <w:szCs w:val="27"/>
        </w:rPr>
        <w:t>По поручению Минобрнауки России, в рамках Плана первоочередных мероприятий Правительства Российской Федерации по реализации важнейших положений Национальной стратегии действий в интересах детей на 2012-2017 годы подготовлен и представлен на общественное обсуждение проект:</w:t>
      </w:r>
    </w:p>
    <w:p w:rsidR="00B877C8" w:rsidRPr="00B877C8" w:rsidRDefault="00FB3FF6" w:rsidP="00B877C8">
      <w:pPr>
        <w:pStyle w:val="a7"/>
        <w:rPr>
          <w:rFonts w:ascii="Arial" w:hAnsi="Arial" w:cs="Arial"/>
          <w:b/>
          <w:color w:val="000000"/>
          <w:sz w:val="18"/>
          <w:szCs w:val="18"/>
        </w:rPr>
      </w:pPr>
      <w:hyperlink r:id="rId4" w:history="1">
        <w:r w:rsidR="00B877C8" w:rsidRPr="00B877C8">
          <w:rPr>
            <w:rStyle w:val="a4"/>
            <w:rFonts w:ascii="Segoe UI" w:hAnsi="Segoe UI" w:cs="Segoe UI"/>
            <w:b/>
            <w:bCs/>
            <w:sz w:val="36"/>
            <w:szCs w:val="36"/>
            <w:shd w:val="clear" w:color="auto" w:fill="F2F2F2"/>
          </w:rPr>
          <w:t>Стратегия развития воспитания в РФ до 2025 года</w:t>
        </w:r>
      </w:hyperlink>
    </w:p>
    <w:p w:rsidR="00833D8C" w:rsidRDefault="00833D8C" w:rsidP="00833D8C">
      <w:pPr>
        <w:shd w:val="clear" w:color="auto" w:fill="FFFFFF"/>
        <w:spacing w:after="0" w:line="240" w:lineRule="auto"/>
        <w:jc w:val="center"/>
        <w:outlineLvl w:val="1"/>
        <w:rPr>
          <w:rFonts w:ascii="Roboto Condensed" w:eastAsia="Times New Roman" w:hAnsi="Roboto Condensed" w:cs="Times New Roman"/>
          <w:color w:val="FF0000"/>
          <w:kern w:val="36"/>
          <w:sz w:val="32"/>
          <w:szCs w:val="32"/>
          <w:lang w:eastAsia="ru-RU"/>
        </w:rPr>
      </w:pPr>
    </w:p>
    <w:p w:rsidR="00C7183C" w:rsidRPr="00833D8C" w:rsidRDefault="00C7183C" w:rsidP="00833D8C">
      <w:pPr>
        <w:shd w:val="clear" w:color="auto" w:fill="FFFFFF"/>
        <w:spacing w:after="0" w:line="240" w:lineRule="auto"/>
        <w:jc w:val="center"/>
        <w:outlineLvl w:val="1"/>
        <w:rPr>
          <w:rFonts w:ascii="Roboto Condensed" w:eastAsia="Times New Roman" w:hAnsi="Roboto Condensed" w:cs="Times New Roman"/>
          <w:color w:val="FF0000"/>
          <w:kern w:val="36"/>
          <w:sz w:val="32"/>
          <w:szCs w:val="32"/>
          <w:lang w:eastAsia="ru-RU"/>
        </w:rPr>
      </w:pPr>
      <w:r w:rsidRPr="00833D8C">
        <w:rPr>
          <w:rFonts w:ascii="Roboto Condensed" w:eastAsia="Times New Roman" w:hAnsi="Roboto Condensed" w:cs="Times New Roman"/>
          <w:color w:val="FF0000"/>
          <w:kern w:val="36"/>
          <w:sz w:val="32"/>
          <w:szCs w:val="32"/>
          <w:lang w:eastAsia="ru-RU"/>
        </w:rPr>
        <w:t xml:space="preserve"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 </w:t>
      </w:r>
      <w:hyperlink r:id="rId5" w:anchor="comments" w:history="1">
        <w:r w:rsidRPr="00833D8C">
          <w:rPr>
            <w:rFonts w:ascii="Roboto Condensed" w:eastAsia="Times New Roman" w:hAnsi="Roboto Condensed" w:cs="Times New Roman"/>
            <w:color w:val="FF0000"/>
            <w:kern w:val="36"/>
            <w:sz w:val="32"/>
            <w:szCs w:val="32"/>
            <w:u w:val="single"/>
            <w:bdr w:val="none" w:sz="0" w:space="0" w:color="auto" w:frame="1"/>
            <w:lang w:eastAsia="ru-RU"/>
          </w:rPr>
          <w:t>1</w:t>
        </w:r>
      </w:hyperlink>
    </w:p>
    <w:p w:rsidR="00C7183C" w:rsidRPr="00833D8C" w:rsidRDefault="00C7183C" w:rsidP="00833D8C">
      <w:pPr>
        <w:shd w:val="clear" w:color="auto" w:fill="FFFFFF"/>
        <w:spacing w:after="75" w:line="240" w:lineRule="auto"/>
        <w:jc w:val="center"/>
        <w:rPr>
          <w:rFonts w:ascii="Roboto" w:eastAsia="Times New Roman" w:hAnsi="Roboto" w:cs="Times New Roman"/>
          <w:color w:val="FF0000"/>
          <w:sz w:val="32"/>
          <w:szCs w:val="32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32"/>
          <w:szCs w:val="32"/>
          <w:lang w:eastAsia="ru-RU"/>
        </w:rPr>
        <w:t>Работа с документами:</w:t>
      </w:r>
    </w:p>
    <w:p w:rsidR="00C7183C" w:rsidRPr="00C7183C" w:rsidRDefault="00C7183C" w:rsidP="00C7183C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</w:pPr>
      <w:r w:rsidRPr="00C7183C"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  <w:t xml:space="preserve">. 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3D8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3D8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Минобрнауки России: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3D8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3D8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C7183C" w:rsidRPr="00C7183C" w:rsidRDefault="00C7183C" w:rsidP="00C7183C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C7183C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Председатель Правительства Российской Федерации Д. Медведев</w:t>
      </w:r>
    </w:p>
    <w:p w:rsidR="00C7183C" w:rsidRPr="00833D8C" w:rsidRDefault="00C7183C" w:rsidP="00C7183C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33D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Стратегия развития воспитания в Российской Федерации на период до 2025 года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b/>
          <w:bCs/>
          <w:color w:val="373737"/>
          <w:sz w:val="28"/>
          <w:szCs w:val="28"/>
          <w:u w:val="single"/>
          <w:lang w:eastAsia="ru-RU"/>
        </w:rPr>
        <w:t>I. Общие положения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b/>
          <w:bCs/>
          <w:color w:val="373737"/>
          <w:sz w:val="28"/>
          <w:szCs w:val="28"/>
          <w:u w:val="single"/>
          <w:lang w:eastAsia="ru-RU"/>
        </w:rPr>
        <w:t>II. Цель, задачи, приоритеты Стратегии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Для достижения цели Стратегии необходимо решение следующих задач: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Приоритетами государственной политики в области воспитания являются: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поддержка единства и целостности, преемственности и непрерывности воспитания;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поддержка общественных институтов, которые являются носителями духовных ценностей;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b/>
          <w:bCs/>
          <w:color w:val="373737"/>
          <w:sz w:val="28"/>
          <w:szCs w:val="28"/>
          <w:u w:val="single"/>
          <w:lang w:eastAsia="ru-RU"/>
        </w:rPr>
        <w:t>III. Основные направления развития воспитания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1. Развитие социальных институтов воспитания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  <w:t>Поддержка семейного воспитания включает</w:t>
      </w: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возрождение значимости больших многопоколенных семей, профессиональных династий;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  <w:t>Развитие воспитания в системе образования предполагает: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совершенствование условий для выявления и поддержки одаренных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знакомство с лучшими образцами мировой и отечественной культуры.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  <w:t>Расширение воспитательных возможностей информационных ресурсов предусматривает: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Поддержка общественных объединений в сфере воспитания предполагает</w:t>
      </w: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расширение государственно-частного партнерства в сфере воспитания детей.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Гражданское воспитание включает: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развитие культуры межнационального общения;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Патриотическое воспитание и формирование российской идентичности предусматривает: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развитие поисковой и краеведческой деятельности, детского познавательного туризма.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содействия формированию у детей позитивных жизненных ориентиров и планов;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Приобщение детей к культурному наследию предполагает</w:t>
      </w: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равных для всех детей возможностей доступа к культурным ценностям;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доступности музейной и театральной культуры для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музейной и театральной педагогики;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Популяризация научных знаний среди детей подразумевает: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Физическое воспитание и формирование культуры здоровья включает: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использование потенциала спортивной деятельности для профилактики асоциального поведения;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Трудовое воспитание и профессиональное самоопределение реализуется посредством</w:t>
      </w: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воспитания у детей уважения к труду и людям труда, трудовым достижениям;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Экологическое воспитание включает</w:t>
      </w: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b/>
          <w:bCs/>
          <w:color w:val="373737"/>
          <w:sz w:val="28"/>
          <w:szCs w:val="28"/>
          <w:lang w:eastAsia="ru-RU"/>
        </w:rPr>
        <w:t>IV. Механизмы реализации Стратегии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  <w:t>Правовые механизмы включают</w:t>
      </w: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Организационно-управленческими механизмами являются: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эффективная организация межведомственного взаимодействия в системе воспитания;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Кадровые механизмы включают: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модернизацию содержания и организации педагогического образования в области воспитания;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Научно-методические механизмы предусматривают: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Финансово-экономические механизмы включают: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гибкой системы материального стимулирования качества воспитательной работы организаций и работников.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FF0000"/>
          <w:sz w:val="28"/>
          <w:szCs w:val="28"/>
          <w:u w:val="single"/>
          <w:lang w:eastAsia="ru-RU"/>
        </w:rPr>
        <w:t>Информационные механизмы предполагают: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b/>
          <w:bCs/>
          <w:color w:val="373737"/>
          <w:sz w:val="28"/>
          <w:szCs w:val="28"/>
          <w:u w:val="single"/>
          <w:lang w:eastAsia="ru-RU"/>
        </w:rPr>
        <w:t>V. Ожидаемые результаты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  <w:t>Реализация Стратегии обеспечит: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укрепление общественного согласия, солидарности в вопросах воспитания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атмосферы уважения к родителям и родительскому вкладу в воспитание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укрепление и развитие кадрового потенциала системы воспитания;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утверждение в детской среде позитивных моделей поведения как нормы, развитие эмпатии;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снижение уровня негативных социальных явлений;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качества научных исследований в области воспитания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повышение уровня информационной безопасности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снижение уровня антиобщественных проявлений со стороны детей;</w:t>
      </w:r>
    </w:p>
    <w:p w:rsidR="00C7183C" w:rsidRPr="00833D8C" w:rsidRDefault="00C7183C" w:rsidP="00833D8C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833D8C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B877C8" w:rsidRPr="00833D8C" w:rsidRDefault="00B877C8" w:rsidP="00833D8C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77C8" w:rsidRPr="00833D8C" w:rsidSect="0023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C8"/>
    <w:rsid w:val="00234C48"/>
    <w:rsid w:val="00833D8C"/>
    <w:rsid w:val="008D0E1C"/>
    <w:rsid w:val="00933CE6"/>
    <w:rsid w:val="00963D3D"/>
    <w:rsid w:val="00B877C8"/>
    <w:rsid w:val="00C7183C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F5AB-9E65-4DD2-867E-078E2D2A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77C8"/>
    <w:rPr>
      <w:i/>
      <w:iCs/>
    </w:rPr>
  </w:style>
  <w:style w:type="character" w:styleId="a4">
    <w:name w:val="Hyperlink"/>
    <w:basedOn w:val="a0"/>
    <w:uiPriority w:val="99"/>
    <w:semiHidden/>
    <w:unhideWhenUsed/>
    <w:rsid w:val="00B877C8"/>
    <w:rPr>
      <w:color w:val="0000FF"/>
      <w:u w:val="single"/>
    </w:rPr>
  </w:style>
  <w:style w:type="character" w:customStyle="1" w:styleId="b-headerbuttons">
    <w:name w:val="b-header__buttons"/>
    <w:basedOn w:val="a0"/>
    <w:rsid w:val="00B877C8"/>
  </w:style>
  <w:style w:type="character" w:customStyle="1" w:styleId="b-buttoninner">
    <w:name w:val="b-button__inner"/>
    <w:basedOn w:val="a0"/>
    <w:rsid w:val="00B877C8"/>
  </w:style>
  <w:style w:type="character" w:customStyle="1" w:styleId="b-buttontext">
    <w:name w:val="b-button__text"/>
    <w:basedOn w:val="a0"/>
    <w:rsid w:val="00B877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77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77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-group">
    <w:name w:val="b-button-group"/>
    <w:basedOn w:val="a0"/>
    <w:rsid w:val="00B877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77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77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title">
    <w:name w:val="b-header__title"/>
    <w:basedOn w:val="a0"/>
    <w:rsid w:val="00B877C8"/>
  </w:style>
  <w:style w:type="character" w:customStyle="1" w:styleId="b-pagerinactive">
    <w:name w:val="b-pager__inactive"/>
    <w:basedOn w:val="a0"/>
    <w:rsid w:val="00B877C8"/>
  </w:style>
  <w:style w:type="character" w:customStyle="1" w:styleId="b-pageractive">
    <w:name w:val="b-pager__active"/>
    <w:basedOn w:val="a0"/>
    <w:rsid w:val="00B877C8"/>
  </w:style>
  <w:style w:type="character" w:customStyle="1" w:styleId="js-downloads-folder-name">
    <w:name w:val="js-downloads-folder-name"/>
    <w:basedOn w:val="a0"/>
    <w:rsid w:val="00B877C8"/>
  </w:style>
  <w:style w:type="character" w:customStyle="1" w:styleId="b-pseudo-link">
    <w:name w:val="b-pseudo-link"/>
    <w:basedOn w:val="a0"/>
    <w:rsid w:val="00B877C8"/>
  </w:style>
  <w:style w:type="paragraph" w:styleId="a5">
    <w:name w:val="Balloon Text"/>
    <w:basedOn w:val="a"/>
    <w:link w:val="a6"/>
    <w:uiPriority w:val="99"/>
    <w:semiHidden/>
    <w:unhideWhenUsed/>
    <w:rsid w:val="00B8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7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93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17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5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00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38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6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8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52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2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62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874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4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67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28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1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5/06/08/vospitanie-dok.html" TargetMode="External"/><Relationship Id="rId4" Type="http://schemas.openxmlformats.org/officeDocument/2006/relationships/hyperlink" Target="https://docviewer.yandex.ru/?url=ya-disk-public%3A%2F%2F8DGqv%2FaE1J4pxgEUKr8GnSEFWi%2BCb499yYpBPE2smP4%3D&amp;name=%D0%A1%D0%A2%D0%A0%D0%90%D0%A2%D0%95%D0%93%D0%98%D0%AF-%D0%A0%D0%90%D0%97%D0%92%D0%98%D0%A2%D0%98%D0%AF-%D0%92%D0%9E%D0%A1%D0%9F%D0%98%D0%A2%D0%90%D0%9D%D0%98%D0%AF%20%D0%A0%D0%A4.pdf&amp;c=54cf494357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Татьяна Лащева</cp:lastModifiedBy>
  <cp:revision>2</cp:revision>
  <dcterms:created xsi:type="dcterms:W3CDTF">2020-06-19T15:14:00Z</dcterms:created>
  <dcterms:modified xsi:type="dcterms:W3CDTF">2020-06-19T15:14:00Z</dcterms:modified>
</cp:coreProperties>
</file>